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id w:val="10729564"/>
        <w:docPartObj>
          <w:docPartGallery w:val="Cover Pages"/>
          <w:docPartUnique/>
        </w:docPartObj>
      </w:sdtPr>
      <w:sdtEndPr>
        <w:rPr>
          <w:szCs w:val="20"/>
        </w:rPr>
      </w:sdtEndPr>
      <w:sdtContent>
        <w:p w:rsidR="00547E68" w:rsidRDefault="00095797" w:rsidP="007750C9">
          <w:pPr>
            <w:pStyle w:val="Heading1"/>
            <w:jc w:val="center"/>
            <w:rPr>
              <w:szCs w:val="20"/>
            </w:rPr>
          </w:pPr>
          <w:r>
            <w:t>Handout: Processing the Changes in Science</w:t>
          </w:r>
        </w:p>
      </w:sdtContent>
    </w:sdt>
    <w:tbl>
      <w:tblPr>
        <w:tblStyle w:val="TableGrid"/>
        <w:tblW w:w="0" w:type="auto"/>
        <w:tblLook w:val="04A0" w:firstRow="1" w:lastRow="0" w:firstColumn="1" w:lastColumn="0" w:noHBand="0" w:noVBand="1"/>
        <w:tblDescription w:val="Processing the Changes in Science table that shows the shifts in teaching and learning, the opportunites and the challenges. "/>
      </w:tblPr>
      <w:tblGrid>
        <w:gridCol w:w="3356"/>
        <w:gridCol w:w="3357"/>
        <w:gridCol w:w="3357"/>
      </w:tblGrid>
      <w:tr w:rsidR="00AB07F2" w:rsidRPr="00AB07F2" w:rsidTr="00AB07F2">
        <w:trPr>
          <w:cantSplit/>
          <w:tblHeader/>
        </w:trPr>
        <w:tc>
          <w:tcPr>
            <w:tcW w:w="3356" w:type="dxa"/>
          </w:tcPr>
          <w:bookmarkEnd w:id="0"/>
          <w:p w:rsidR="00AB07F2" w:rsidRPr="00AB07F2" w:rsidRDefault="00AB07F2" w:rsidP="00AB07F2">
            <w:pPr>
              <w:spacing w:after="0"/>
              <w:jc w:val="center"/>
              <w:rPr>
                <w:b/>
              </w:rPr>
            </w:pPr>
            <w:r>
              <w:rPr>
                <w:b/>
              </w:rPr>
              <w:t>Shifts in Teaching and Learning</w:t>
            </w:r>
          </w:p>
        </w:tc>
        <w:tc>
          <w:tcPr>
            <w:tcW w:w="3357" w:type="dxa"/>
          </w:tcPr>
          <w:p w:rsidR="00AB07F2" w:rsidRPr="00AB07F2" w:rsidRDefault="00AB07F2" w:rsidP="00AB07F2">
            <w:pPr>
              <w:spacing w:after="0"/>
              <w:jc w:val="center"/>
              <w:rPr>
                <w:b/>
              </w:rPr>
            </w:pPr>
            <w:r>
              <w:rPr>
                <w:b/>
              </w:rPr>
              <w:t>Opportunities</w:t>
            </w:r>
          </w:p>
        </w:tc>
        <w:tc>
          <w:tcPr>
            <w:tcW w:w="3357" w:type="dxa"/>
          </w:tcPr>
          <w:p w:rsidR="00AB07F2" w:rsidRPr="00AB07F2" w:rsidRDefault="00AB07F2" w:rsidP="00AB07F2">
            <w:pPr>
              <w:spacing w:after="0"/>
              <w:jc w:val="center"/>
              <w:rPr>
                <w:b/>
              </w:rPr>
            </w:pPr>
            <w:r>
              <w:rPr>
                <w:b/>
              </w:rPr>
              <w:t>Challenges</w:t>
            </w:r>
          </w:p>
        </w:tc>
      </w:tr>
      <w:tr w:rsidR="00AB07F2" w:rsidTr="007750C9">
        <w:trPr>
          <w:cantSplit/>
          <w:trHeight w:val="1296"/>
        </w:trPr>
        <w:tc>
          <w:tcPr>
            <w:tcW w:w="3356" w:type="dxa"/>
          </w:tcPr>
          <w:p w:rsidR="00AB07F2" w:rsidRDefault="008206DF" w:rsidP="00D45FAD">
            <w:pPr>
              <w:spacing w:after="0" w:line="240" w:lineRule="auto"/>
            </w:pPr>
            <w:r w:rsidRPr="008206DF">
              <w:t>Science shift toward learning for all students</w:t>
            </w:r>
            <w:r w:rsidR="005477BD">
              <w:t>.</w:t>
            </w:r>
          </w:p>
          <w:p w:rsidR="005477BD" w:rsidRPr="00546229" w:rsidRDefault="005477BD" w:rsidP="00D45FAD">
            <w:pPr>
              <w:spacing w:after="0" w:line="240" w:lineRule="auto"/>
            </w:pPr>
            <w:r w:rsidRPr="005477BD">
              <w:t>[Reading—</w:t>
            </w:r>
            <w:r w:rsidRPr="00D45FAD">
              <w:rPr>
                <w:i/>
              </w:rPr>
              <w:t>STEM Teaching Tool 15: Equity Overview</w:t>
            </w:r>
            <w:r w:rsidRPr="005477BD">
              <w:t>]</w:t>
            </w:r>
            <w:r w:rsidR="00D45FAD">
              <w:t>.</w:t>
            </w:r>
          </w:p>
        </w:tc>
        <w:tc>
          <w:tcPr>
            <w:tcW w:w="3357" w:type="dxa"/>
          </w:tcPr>
          <w:p w:rsidR="00AB07F2" w:rsidRPr="00546229" w:rsidRDefault="00D45FAD" w:rsidP="00D45FAD">
            <w:pPr>
              <w:spacing w:after="0" w:line="240" w:lineRule="auto"/>
            </w:pPr>
            <w:r w:rsidRPr="00D45FAD">
              <w:t>Example – Developing lessons to explicitly counter gender stereotypes in the sciences.</w:t>
            </w:r>
          </w:p>
        </w:tc>
        <w:tc>
          <w:tcPr>
            <w:tcW w:w="3357" w:type="dxa"/>
          </w:tcPr>
          <w:p w:rsidR="00AB07F2" w:rsidRPr="00546229" w:rsidRDefault="00D45FAD" w:rsidP="00D45FAD">
            <w:pPr>
              <w:spacing w:after="0" w:line="240" w:lineRule="auto"/>
            </w:pPr>
            <w:r w:rsidRPr="00D45FAD">
              <w:t>Example – Providing equitable access to field-based experiences (such as field trips to zoos, science museums, or nature centers) or equipment (such as devices and apps for virtual dissection) to all students may have financial and logistical barriers.</w:t>
            </w:r>
          </w:p>
        </w:tc>
      </w:tr>
      <w:tr w:rsidR="00AB07F2" w:rsidTr="007750C9">
        <w:trPr>
          <w:cantSplit/>
          <w:trHeight w:val="1296"/>
        </w:trPr>
        <w:tc>
          <w:tcPr>
            <w:tcW w:w="3356" w:type="dxa"/>
          </w:tcPr>
          <w:p w:rsidR="00D45FAD" w:rsidRDefault="00D45FAD" w:rsidP="00D45FAD">
            <w:pPr>
              <w:spacing w:line="240" w:lineRule="auto"/>
              <w:rPr>
                <w:lang w:bidi="ar-SA"/>
              </w:rPr>
            </w:pPr>
            <w:r>
              <w:rPr>
                <w:lang w:bidi="ar-SA"/>
              </w:rPr>
              <w:t>Science shift toward an emphasis on learning progressions</w:t>
            </w:r>
          </w:p>
          <w:p w:rsidR="00AB07F2" w:rsidRDefault="00D45FAD" w:rsidP="00D45FAD">
            <w:pPr>
              <w:spacing w:line="240" w:lineRule="auto"/>
              <w:rPr>
                <w:lang w:bidi="ar-SA"/>
              </w:rPr>
            </w:pPr>
            <w:r>
              <w:rPr>
                <w:lang w:bidi="ar-SA"/>
              </w:rPr>
              <w:t>[Reading—</w:t>
            </w:r>
            <w:r w:rsidRPr="00D45FAD">
              <w:rPr>
                <w:color w:val="FF0000"/>
                <w:lang w:bidi="ar-SA"/>
              </w:rPr>
              <w:t>TBD]</w:t>
            </w:r>
          </w:p>
        </w:tc>
        <w:tc>
          <w:tcPr>
            <w:tcW w:w="3357" w:type="dxa"/>
          </w:tcPr>
          <w:p w:rsidR="00AB07F2" w:rsidRDefault="00AB07F2" w:rsidP="00D45FAD">
            <w:pPr>
              <w:spacing w:line="240" w:lineRule="auto"/>
              <w:rPr>
                <w:lang w:bidi="ar-SA"/>
              </w:rPr>
            </w:pPr>
          </w:p>
        </w:tc>
        <w:tc>
          <w:tcPr>
            <w:tcW w:w="3357" w:type="dxa"/>
          </w:tcPr>
          <w:p w:rsidR="00AB07F2" w:rsidRDefault="00AB07F2" w:rsidP="00D45FAD">
            <w:pPr>
              <w:spacing w:line="240" w:lineRule="auto"/>
              <w:rPr>
                <w:lang w:bidi="ar-SA"/>
              </w:rPr>
            </w:pPr>
          </w:p>
        </w:tc>
      </w:tr>
      <w:tr w:rsidR="00AB07F2" w:rsidTr="007750C9">
        <w:trPr>
          <w:cantSplit/>
          <w:trHeight w:val="1296"/>
        </w:trPr>
        <w:tc>
          <w:tcPr>
            <w:tcW w:w="3356" w:type="dxa"/>
          </w:tcPr>
          <w:p w:rsidR="00AB07F2" w:rsidRDefault="00D45FAD" w:rsidP="00D45FAD">
            <w:pPr>
              <w:spacing w:line="240" w:lineRule="auto"/>
              <w:rPr>
                <w:lang w:bidi="ar-SA"/>
              </w:rPr>
            </w:pPr>
            <w:r w:rsidRPr="00D45FAD">
              <w:rPr>
                <w:lang w:bidi="ar-SA"/>
              </w:rPr>
              <w:t>Science shift toward inquiry processes</w:t>
            </w:r>
            <w:r>
              <w:rPr>
                <w:lang w:bidi="ar-SA"/>
              </w:rPr>
              <w:t>.</w:t>
            </w:r>
          </w:p>
          <w:p w:rsidR="00D45FAD" w:rsidRDefault="00D45FAD" w:rsidP="00D45FAD">
            <w:pPr>
              <w:spacing w:line="240" w:lineRule="auto"/>
              <w:rPr>
                <w:lang w:bidi="ar-SA"/>
              </w:rPr>
            </w:pPr>
            <w:r w:rsidRPr="00D45FAD">
              <w:rPr>
                <w:lang w:bidi="ar-SA"/>
              </w:rPr>
              <w:t>[Reading—</w:t>
            </w:r>
            <w:r w:rsidRPr="00D45FAD">
              <w:rPr>
                <w:i/>
                <w:lang w:bidi="ar-SA"/>
              </w:rPr>
              <w:t>Inquiry]</w:t>
            </w:r>
          </w:p>
        </w:tc>
        <w:tc>
          <w:tcPr>
            <w:tcW w:w="3357" w:type="dxa"/>
          </w:tcPr>
          <w:p w:rsidR="00AB07F2" w:rsidRDefault="00AB07F2" w:rsidP="00D45FAD">
            <w:pPr>
              <w:spacing w:line="240" w:lineRule="auto"/>
              <w:rPr>
                <w:lang w:bidi="ar-SA"/>
              </w:rPr>
            </w:pPr>
          </w:p>
        </w:tc>
        <w:tc>
          <w:tcPr>
            <w:tcW w:w="3357" w:type="dxa"/>
          </w:tcPr>
          <w:p w:rsidR="00AB07F2" w:rsidRDefault="00AB07F2" w:rsidP="00D45FAD">
            <w:pPr>
              <w:spacing w:line="240" w:lineRule="auto"/>
              <w:rPr>
                <w:lang w:bidi="ar-SA"/>
              </w:rPr>
            </w:pPr>
          </w:p>
        </w:tc>
      </w:tr>
      <w:tr w:rsidR="00AB07F2" w:rsidTr="007750C9">
        <w:trPr>
          <w:cantSplit/>
          <w:trHeight w:val="1296"/>
        </w:trPr>
        <w:tc>
          <w:tcPr>
            <w:tcW w:w="3356" w:type="dxa"/>
          </w:tcPr>
          <w:p w:rsidR="00D45FAD" w:rsidRDefault="00D45FAD" w:rsidP="00D45FAD">
            <w:pPr>
              <w:spacing w:line="240" w:lineRule="auto"/>
              <w:rPr>
                <w:lang w:bidi="ar-SA"/>
              </w:rPr>
            </w:pPr>
            <w:r>
              <w:rPr>
                <w:lang w:bidi="ar-SA"/>
              </w:rPr>
              <w:t>Science shift toward inclusion of engineering in science instruction</w:t>
            </w:r>
          </w:p>
          <w:p w:rsidR="008628DD" w:rsidRDefault="00D45FAD" w:rsidP="00D45FAD">
            <w:pPr>
              <w:spacing w:line="240" w:lineRule="auto"/>
              <w:rPr>
                <w:lang w:bidi="ar-SA"/>
              </w:rPr>
            </w:pPr>
            <w:r>
              <w:rPr>
                <w:lang w:bidi="ar-SA"/>
              </w:rPr>
              <w:t>[Reading—</w:t>
            </w:r>
            <w:r w:rsidRPr="00D45FAD">
              <w:rPr>
                <w:i/>
                <w:lang w:bidi="ar-SA"/>
              </w:rPr>
              <w:t>STEM Teaching Tool 7: Engineering Design</w:t>
            </w:r>
            <w:r>
              <w:rPr>
                <w:lang w:bidi="ar-SA"/>
              </w:rPr>
              <w:t>].</w:t>
            </w:r>
          </w:p>
        </w:tc>
        <w:tc>
          <w:tcPr>
            <w:tcW w:w="3357" w:type="dxa"/>
          </w:tcPr>
          <w:p w:rsidR="00AB07F2" w:rsidRDefault="00AB07F2" w:rsidP="00D45FAD">
            <w:pPr>
              <w:spacing w:line="240" w:lineRule="auto"/>
              <w:rPr>
                <w:lang w:bidi="ar-SA"/>
              </w:rPr>
            </w:pPr>
          </w:p>
        </w:tc>
        <w:tc>
          <w:tcPr>
            <w:tcW w:w="3357" w:type="dxa"/>
          </w:tcPr>
          <w:p w:rsidR="00AB07F2" w:rsidRDefault="00AB07F2" w:rsidP="00D45FAD">
            <w:pPr>
              <w:spacing w:line="240" w:lineRule="auto"/>
              <w:rPr>
                <w:lang w:bidi="ar-SA"/>
              </w:rPr>
            </w:pPr>
          </w:p>
        </w:tc>
      </w:tr>
      <w:tr w:rsidR="00D45FAD" w:rsidTr="007750C9">
        <w:trPr>
          <w:cantSplit/>
          <w:trHeight w:val="1296"/>
        </w:trPr>
        <w:tc>
          <w:tcPr>
            <w:tcW w:w="3356" w:type="dxa"/>
          </w:tcPr>
          <w:p w:rsidR="00D45FAD" w:rsidRDefault="00D45FAD" w:rsidP="00D45FAD">
            <w:pPr>
              <w:spacing w:line="240" w:lineRule="auto"/>
              <w:rPr>
                <w:lang w:bidi="ar-SA"/>
              </w:rPr>
            </w:pPr>
            <w:r>
              <w:rPr>
                <w:lang w:bidi="ar-SA"/>
              </w:rPr>
              <w:t>Science shift toward the integration of inquiry and engineering design with content</w:t>
            </w:r>
          </w:p>
          <w:p w:rsidR="00D45FAD" w:rsidRDefault="00D45FAD" w:rsidP="00D45FAD">
            <w:pPr>
              <w:spacing w:line="240" w:lineRule="auto"/>
              <w:rPr>
                <w:lang w:bidi="ar-SA"/>
              </w:rPr>
            </w:pPr>
            <w:r>
              <w:rPr>
                <w:lang w:bidi="ar-SA"/>
              </w:rPr>
              <w:t>[Reading—</w:t>
            </w:r>
            <w:r w:rsidRPr="00D45FAD">
              <w:rPr>
                <w:i/>
                <w:lang w:bidi="ar-SA"/>
              </w:rPr>
              <w:t>STEM Teaching Tool 19: Planning and Conducting Investigations]</w:t>
            </w:r>
          </w:p>
        </w:tc>
        <w:tc>
          <w:tcPr>
            <w:tcW w:w="3357" w:type="dxa"/>
          </w:tcPr>
          <w:p w:rsidR="00D45FAD" w:rsidRDefault="00D45FAD" w:rsidP="00D45FAD">
            <w:pPr>
              <w:spacing w:line="240" w:lineRule="auto"/>
              <w:rPr>
                <w:lang w:bidi="ar-SA"/>
              </w:rPr>
            </w:pPr>
          </w:p>
        </w:tc>
        <w:tc>
          <w:tcPr>
            <w:tcW w:w="3357" w:type="dxa"/>
          </w:tcPr>
          <w:p w:rsidR="00D45FAD" w:rsidRDefault="00D45FAD" w:rsidP="00D45FAD">
            <w:pPr>
              <w:spacing w:line="240" w:lineRule="auto"/>
              <w:rPr>
                <w:lang w:bidi="ar-SA"/>
              </w:rPr>
            </w:pPr>
          </w:p>
        </w:tc>
      </w:tr>
      <w:tr w:rsidR="00D45FAD" w:rsidTr="007750C9">
        <w:trPr>
          <w:cantSplit/>
          <w:trHeight w:val="1296"/>
        </w:trPr>
        <w:tc>
          <w:tcPr>
            <w:tcW w:w="3356" w:type="dxa"/>
          </w:tcPr>
          <w:p w:rsidR="00D45FAD" w:rsidRDefault="00D45FAD" w:rsidP="00D45FAD">
            <w:pPr>
              <w:spacing w:line="240" w:lineRule="auto"/>
              <w:rPr>
                <w:lang w:bidi="ar-SA"/>
              </w:rPr>
            </w:pPr>
            <w:r>
              <w:rPr>
                <w:lang w:bidi="ar-SA"/>
              </w:rPr>
              <w:t>Science shift toward the integration of literacy</w:t>
            </w:r>
          </w:p>
          <w:p w:rsidR="00D45FAD" w:rsidRDefault="00D45FAD" w:rsidP="00D45FAD">
            <w:pPr>
              <w:spacing w:line="240" w:lineRule="auto"/>
              <w:rPr>
                <w:lang w:bidi="ar-SA"/>
              </w:rPr>
            </w:pPr>
            <w:r>
              <w:rPr>
                <w:lang w:bidi="ar-SA"/>
              </w:rPr>
              <w:t>[Reading—</w:t>
            </w:r>
            <w:r w:rsidRPr="00D45FAD">
              <w:rPr>
                <w:i/>
                <w:lang w:bidi="ar-SA"/>
              </w:rPr>
              <w:t>Literacy in Science</w:t>
            </w:r>
            <w:r>
              <w:rPr>
                <w:lang w:bidi="ar-SA"/>
              </w:rPr>
              <w:t>]</w:t>
            </w:r>
          </w:p>
        </w:tc>
        <w:tc>
          <w:tcPr>
            <w:tcW w:w="3357" w:type="dxa"/>
          </w:tcPr>
          <w:p w:rsidR="00D45FAD" w:rsidRDefault="00D45FAD" w:rsidP="00D45FAD">
            <w:pPr>
              <w:spacing w:line="240" w:lineRule="auto"/>
              <w:rPr>
                <w:lang w:bidi="ar-SA"/>
              </w:rPr>
            </w:pPr>
          </w:p>
        </w:tc>
        <w:tc>
          <w:tcPr>
            <w:tcW w:w="3357" w:type="dxa"/>
          </w:tcPr>
          <w:p w:rsidR="00D45FAD" w:rsidRDefault="00D45FAD" w:rsidP="00D45FAD">
            <w:pPr>
              <w:spacing w:line="240" w:lineRule="auto"/>
              <w:rPr>
                <w:lang w:bidi="ar-SA"/>
              </w:rPr>
            </w:pPr>
          </w:p>
        </w:tc>
      </w:tr>
    </w:tbl>
    <w:p w:rsidR="00AB07F2" w:rsidRPr="00073127" w:rsidRDefault="00AB07F2" w:rsidP="00D45FAD">
      <w:pPr>
        <w:spacing w:line="240" w:lineRule="auto"/>
        <w:rPr>
          <w:lang w:bidi="ar-SA"/>
        </w:rPr>
      </w:pPr>
    </w:p>
    <w:sectPr w:rsidR="00AB07F2" w:rsidRPr="00073127" w:rsidSect="00B437C8">
      <w:footerReference w:type="default" r:id="rId11"/>
      <w:footerReference w:type="first" r:id="rId12"/>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7F2" w:rsidRDefault="00AB07F2" w:rsidP="00D91FF4">
      <w:r>
        <w:separator/>
      </w:r>
    </w:p>
  </w:endnote>
  <w:endnote w:type="continuationSeparator" w:id="0">
    <w:p w:rsidR="00AB07F2" w:rsidRDefault="00AB07F2"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7F2" w:rsidRDefault="00AB07F2" w:rsidP="00D91FF4">
      <w:r>
        <w:separator/>
      </w:r>
    </w:p>
  </w:footnote>
  <w:footnote w:type="continuationSeparator" w:id="0">
    <w:p w:rsidR="00AB07F2" w:rsidRDefault="00AB07F2"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F2"/>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95797"/>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11D5"/>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7BD"/>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750C9"/>
    <w:rsid w:val="007857F7"/>
    <w:rsid w:val="00793F48"/>
    <w:rsid w:val="007B35B2"/>
    <w:rsid w:val="007D1FFF"/>
    <w:rsid w:val="007D42A0"/>
    <w:rsid w:val="007E685C"/>
    <w:rsid w:val="007F6108"/>
    <w:rsid w:val="007F7097"/>
    <w:rsid w:val="00806678"/>
    <w:rsid w:val="008067A6"/>
    <w:rsid w:val="008140CC"/>
    <w:rsid w:val="008206DF"/>
    <w:rsid w:val="008251B3"/>
    <w:rsid w:val="00844F1D"/>
    <w:rsid w:val="00846F64"/>
    <w:rsid w:val="0084731A"/>
    <w:rsid w:val="0084749F"/>
    <w:rsid w:val="008628DD"/>
    <w:rsid w:val="00864202"/>
    <w:rsid w:val="008A76FD"/>
    <w:rsid w:val="008B5443"/>
    <w:rsid w:val="008B7A1E"/>
    <w:rsid w:val="008C7EEB"/>
    <w:rsid w:val="008D0DEF"/>
    <w:rsid w:val="008D2256"/>
    <w:rsid w:val="008D5E3D"/>
    <w:rsid w:val="008E00E8"/>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07F2"/>
    <w:rsid w:val="00AB1F46"/>
    <w:rsid w:val="00AB65FF"/>
    <w:rsid w:val="00AD122F"/>
    <w:rsid w:val="00AD2653"/>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45FAD"/>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DD4C1"/>
  <w15:chartTrackingRefBased/>
  <w15:docId w15:val="{84911B1F-860A-44BA-9C3A-973625B8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E2B897F4-F54F-4119-B0B2-A19103EE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Processing the Shifts: Science</vt:lpstr>
    </vt:vector>
  </TitlesOfParts>
  <Company>Minnesota Department Of Education</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Processing the Changes in Science</dc:title>
  <dc:subject/>
  <dc:creator>Minnesota Department of Education</dc:creator>
  <cp:keywords/>
  <dc:description/>
  <cp:lastModifiedBy>Danielson, Anne (MDE)</cp:lastModifiedBy>
  <cp:revision>2</cp:revision>
  <dcterms:created xsi:type="dcterms:W3CDTF">2021-03-11T20:31:00Z</dcterms:created>
  <dcterms:modified xsi:type="dcterms:W3CDTF">2021-03-11T20:31:00Z</dcterms:modified>
</cp:coreProperties>
</file>